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市教委教研室教育综合改革实验基地学校工作总结</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黑体" w:hAnsi="黑体" w:eastAsia="黑体" w:cs="黑体"/>
          <w:b/>
          <w:bCs/>
          <w:sz w:val="28"/>
          <w:szCs w:val="28"/>
          <w:lang w:val="en-US" w:eastAsia="zh-CN"/>
        </w:rPr>
        <w:t>上海市风华初级中学</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一、 </w:t>
      </w:r>
      <w:r>
        <w:rPr>
          <w:rFonts w:hint="eastAsia" w:ascii="宋体" w:hAnsi="宋体" w:eastAsia="宋体" w:cs="宋体"/>
          <w:sz w:val="28"/>
          <w:szCs w:val="28"/>
          <w:lang w:eastAsia="zh-CN"/>
        </w:rPr>
        <w:t>实验项目概述</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1、综合素质评价</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right="0" w:rightChars="0" w:firstLine="56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综合素质评价的关注点：以学生的个体差异为“根”，实现“三个关注”，即：评价要关注学生个性发展的差异；评价要关注学生成长起点的差异；评价要关注学生学习体验的差异。</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right="0" w:rightChars="0" w:firstLine="56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素质评价的结构：我们将原本多头纷杂的德育评价、课堂学习评价、期末考试评价和拓展型探究型课程的评价重新整理和梳理，结合学校自身教育教学特色，将评价分为“身心健康、品德发展、学科学习、实践创新”四个维度，共计26个具体的评价点。</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right="0" w:rightChars="0" w:firstLine="56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素质评价的方式：我们将评价分为测评性评价和写实性评价两种形式，依据考核内容的不同可灵活调整。测评性评价以量的考核为主，包括学生学业成绩数据、体质健康标准等调用类信息两方面。写实性评价则主要以事实性的客观描述为主，比如学生曾经参与的主题活动记录，在校内外获得的各项荣誉照片，社会实践的小调查、小研究的报告等等。</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right="0" w:rightChars="0" w:firstLine="56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素质评价的载体：我们通过学生小调查、评价手册设计大赛的方式征集设计方案，最终形成了“我的成长帆”。在本学期我们继续推进了综合素质评价的网络平台开发和试运转的工作，现已开发了包含班级日常管理、值周班反馈、卫生室反馈的移动平台并运用pad记录进行了试运转。</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2、数字教材研究</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4"/>
          <w:szCs w:val="24"/>
          <w:lang w:val="en-US" w:eastAsia="zh-CN"/>
        </w:rPr>
        <w:t>（1）在市数字教材研究组的统一安排下，开展语文、数学（七年级）和物理（八年级）三门学科数字教材的实践应用研究，在上学期学生台式电脑终端的基础上，又在本学期增加了新的学生ipad终端的课堂运用、进一步收集了课堂应用案例。我们还将在本月29日召开数字教材跨学科交流展示活动。在市教研员的直接指导下，语文、数学两门学科正在紧张的准备当中。</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（2）本学期，我们还继续开展了数字教材配套练习的编写，在数字教材配套练习的编写方面，本学期我们一共完成了400道配套习题的编写工作。</w:t>
      </w:r>
    </w:p>
    <w:tbl>
      <w:tblPr>
        <w:tblStyle w:val="4"/>
        <w:tblpPr w:leftFromText="180" w:rightFromText="180" w:vertAnchor="text" w:horzAnchor="page" w:tblpX="1826" w:tblpY="8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语文</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数学</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175</w:t>
            </w:r>
            <w:r>
              <w:rPr>
                <w:rFonts w:hint="eastAsia" w:ascii="宋体" w:hAnsi="宋体" w:eastAsia="宋体" w:cs="宋体"/>
                <w:sz w:val="28"/>
                <w:szCs w:val="28"/>
                <w:lang w:val="en-US" w:eastAsia="zh-CN"/>
              </w:rPr>
              <w:t>题</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140</w:t>
            </w:r>
            <w:r>
              <w:rPr>
                <w:rFonts w:hint="eastAsia" w:ascii="宋体" w:hAnsi="宋体" w:eastAsia="宋体" w:cs="宋体"/>
                <w:sz w:val="28"/>
                <w:szCs w:val="28"/>
                <w:lang w:val="en-US" w:eastAsia="zh-CN"/>
              </w:rPr>
              <w:t>题</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val="en-US" w:eastAsia="zh-CN"/>
              </w:rPr>
              <w:t>85题</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4"/>
          <w:szCs w:val="24"/>
          <w:lang w:val="en-US" w:eastAsia="zh-CN"/>
        </w:rPr>
        <w:t>为更好的推进这方面工作，学校组织了以青年教师为主、骨干教师把关的配套练习编写小组，按照市里布置的时间节点，“领取任务——校内培训——分头编制——教研组长审核——汇总上交”的习题编制流程，将市学科的编制任务作为提升校内中青年教师命题能力的重要载体。</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3、提升学业质量的实证研究：</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6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bookmarkStart w:id="0" w:name="_GoBack"/>
      <w:r>
        <w:rPr>
          <w:rFonts w:hint="eastAsia" w:ascii="宋体" w:hAnsi="宋体" w:eastAsia="宋体" w:cs="宋体"/>
          <w:sz w:val="24"/>
          <w:szCs w:val="24"/>
          <w:lang w:val="en-US" w:eastAsia="zh-CN"/>
        </w:rPr>
        <w:t>语文：初三复习指导实验项目</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6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数学：几何代码评分的研究</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二、课程领导力实验项目要点说明</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4"/>
          <w:szCs w:val="24"/>
          <w:lang w:val="en-US" w:eastAsia="zh-CN"/>
        </w:rPr>
        <w:t xml:space="preserve"> 本学期我们完成了课程领导力项目学校必选项目“学校课程计划中社会实践课程的编制与完善的研究”和学校自选项目“SET SAIL”综合主题课程开发与实施的研究“的开题工作。通过市总项目组组织的专家论证，让我们对整个项目有了更加深入的思考和明晰的观点。</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firstLine="56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明确了课程领导力项目的定位：通过社会实践课程的编制与完善、以及综合主题课程的建设，对学校课程进行持续的横向贯通和纵向衔接的持续思考，提升整个学校层面课程的思想力和设计力，和每个教师对课程的理解力和执行力，从而弥补学校现有课程分科多，综合性少；知识性多，实践性少等的不足，更好的培养学生主动探究的意思和创新的能力。</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firstLine="56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理清了综合主题课程的基本内涵：以综合主题为设计起点、以一个或多个核心素养培育为基本导向、跨学科或超学科融合、按年级模块化设计的课程。（41）</w:t>
      </w:r>
    </w:p>
    <w:p>
      <w:pPr>
        <w:keepNext w:val="0"/>
        <w:keepLines w:val="0"/>
        <w:pageBreakBefore w:val="0"/>
        <w:widowControl w:val="0"/>
        <w:kinsoku/>
        <w:wordWrap/>
        <w:overflowPunct/>
        <w:topLinePunct w:val="0"/>
        <w:autoSpaceDE/>
        <w:autoSpaceDN/>
        <w:bidi w:val="0"/>
        <w:adjustRightInd/>
        <w:snapToGrid/>
        <w:spacing w:line="288" w:lineRule="auto"/>
        <w:ind w:firstLine="56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3、梳理了上个学期开展的”SET</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综合主题课程的模块。（44）</w:t>
      </w:r>
    </w:p>
    <w:p>
      <w:pPr>
        <w:keepNext w:val="0"/>
        <w:keepLines w:val="0"/>
        <w:pageBreakBefore w:val="0"/>
        <w:widowControl w:val="0"/>
        <w:kinsoku/>
        <w:wordWrap/>
        <w:overflowPunct/>
        <w:topLinePunct w:val="0"/>
        <w:autoSpaceDE/>
        <w:autoSpaceDN/>
        <w:bidi w:val="0"/>
        <w:adjustRightInd/>
        <w:snapToGrid/>
        <w:spacing w:line="288" w:lineRule="auto"/>
        <w:ind w:firstLine="56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4、开展了本学期“SAIL</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综合主题课程的尝试。</w:t>
      </w:r>
    </w:p>
    <w:p>
      <w:pPr>
        <w:keepNext w:val="0"/>
        <w:keepLines w:val="0"/>
        <w:pageBreakBefore w:val="0"/>
        <w:widowControl w:val="0"/>
        <w:kinsoku/>
        <w:wordWrap/>
        <w:overflowPunct/>
        <w:topLinePunct w:val="0"/>
        <w:autoSpaceDE/>
        <w:autoSpaceDN/>
        <w:bidi w:val="0"/>
        <w:adjustRightInd/>
        <w:snapToGrid/>
        <w:spacing w:line="288" w:lineRule="auto"/>
        <w:ind w:firstLine="405"/>
        <w:textAlignment w:val="auto"/>
        <w:rPr>
          <w:rFonts w:hint="eastAsia"/>
          <w:sz w:val="24"/>
          <w:szCs w:val="24"/>
          <w:lang w:val="en-US" w:eastAsia="zh-CN"/>
        </w:rPr>
      </w:pPr>
      <w:r>
        <w:rPr>
          <w:rFonts w:hint="eastAsia"/>
          <w:sz w:val="24"/>
          <w:szCs w:val="24"/>
          <w:lang w:val="en-US" w:eastAsia="zh-CN"/>
        </w:rPr>
        <w:t xml:space="preserve"> 通过分年级组的跨学科研讨，我们形成了各年级主题为：六年级——李白、七年级——苏轼，八年级——达芬奇。现以八年级为例说明课程的内容。</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sz w:val="24"/>
          <w:szCs w:val="24"/>
          <w:lang w:val="en-US" w:eastAsia="zh-CN"/>
        </w:rPr>
        <w:t xml:space="preserve">   《达·芬奇〈最后的晚餐〉》原是语文教材中的一篇文章，以此为基础，我们融合语文、外语、美术、历史、政治等学科形成</w:t>
      </w:r>
      <w:r>
        <w:rPr>
          <w:rFonts w:hint="eastAsia"/>
          <w:sz w:val="24"/>
          <w:szCs w:val="24"/>
        </w:rPr>
        <w:t>“大家”系列配套课程</w:t>
      </w:r>
      <w:r>
        <w:rPr>
          <w:rFonts w:hint="eastAsia"/>
          <w:sz w:val="24"/>
          <w:szCs w:val="24"/>
          <w:lang w:eastAsia="zh-CN"/>
        </w:rPr>
        <w:t>如下：</w:t>
      </w:r>
    </w:p>
    <w:tbl>
      <w:tblPr>
        <w:tblStyle w:val="4"/>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
        <w:gridCol w:w="877"/>
        <w:gridCol w:w="2308"/>
        <w:gridCol w:w="2481"/>
        <w:gridCol w:w="726"/>
        <w:gridCol w:w="658"/>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 w:type="dxa"/>
            <w:vMerge w:val="restart"/>
            <w:textDirection w:val="tbRlV"/>
          </w:tcPr>
          <w:p>
            <w:pPr>
              <w:keepNext w:val="0"/>
              <w:keepLines w:val="0"/>
              <w:pageBreakBefore w:val="0"/>
              <w:widowControl w:val="0"/>
              <w:kinsoku/>
              <w:wordWrap/>
              <w:overflowPunct/>
              <w:topLinePunct w:val="0"/>
              <w:autoSpaceDE/>
              <w:autoSpaceDN/>
              <w:bidi w:val="0"/>
              <w:adjustRightInd/>
              <w:snapToGrid/>
              <w:spacing w:line="288" w:lineRule="auto"/>
              <w:ind w:left="113" w:right="113"/>
              <w:jc w:val="center"/>
              <w:textAlignment w:val="auto"/>
              <w:rPr>
                <w:rFonts w:hint="eastAsia"/>
                <w:vertAlign w:val="baseline"/>
                <w:lang w:val="en-US" w:eastAsia="zh-CN"/>
              </w:rPr>
            </w:pPr>
            <w:r>
              <w:rPr>
                <w:rFonts w:hint="eastAsia"/>
                <w:lang w:val="en-US" w:eastAsia="zh-CN"/>
              </w:rPr>
              <w:t>达·芬奇〈最后的晚餐〉</w:t>
            </w:r>
          </w:p>
        </w:tc>
        <w:tc>
          <w:tcPr>
            <w:tcW w:w="877"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vertAlign w:val="baseline"/>
                <w:lang w:val="en-US" w:eastAsia="zh-CN"/>
              </w:rPr>
            </w:pPr>
            <w:r>
              <w:rPr>
                <w:rFonts w:hint="eastAsia"/>
                <w:vertAlign w:val="baseline"/>
                <w:lang w:val="en-US" w:eastAsia="zh-CN"/>
              </w:rPr>
              <w:t>课题</w:t>
            </w:r>
          </w:p>
        </w:tc>
        <w:tc>
          <w:tcPr>
            <w:tcW w:w="2308"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vertAlign w:val="baseline"/>
                <w:lang w:val="en-US" w:eastAsia="zh-CN"/>
              </w:rPr>
            </w:pPr>
            <w:r>
              <w:rPr>
                <w:rFonts w:hint="eastAsia"/>
                <w:vertAlign w:val="baseline"/>
                <w:lang w:val="en-US" w:eastAsia="zh-CN"/>
              </w:rPr>
              <w:t>学习内容</w:t>
            </w:r>
          </w:p>
        </w:tc>
        <w:tc>
          <w:tcPr>
            <w:tcW w:w="2481"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vertAlign w:val="baseline"/>
                <w:lang w:val="en-US" w:eastAsia="zh-CN"/>
              </w:rPr>
            </w:pPr>
            <w:r>
              <w:rPr>
                <w:rFonts w:hint="eastAsia"/>
                <w:vertAlign w:val="baseline"/>
                <w:lang w:val="en-US" w:eastAsia="zh-CN"/>
              </w:rPr>
              <w:t>拓展、探究活动</w:t>
            </w:r>
          </w:p>
        </w:tc>
        <w:tc>
          <w:tcPr>
            <w:tcW w:w="72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vertAlign w:val="baseline"/>
                <w:lang w:val="en-US" w:eastAsia="zh-CN"/>
              </w:rPr>
            </w:pPr>
            <w:r>
              <w:rPr>
                <w:rFonts w:hint="eastAsia"/>
                <w:vertAlign w:val="baseline"/>
                <w:lang w:val="en-US" w:eastAsia="zh-CN"/>
              </w:rPr>
              <w:t>学时</w:t>
            </w:r>
          </w:p>
        </w:tc>
        <w:tc>
          <w:tcPr>
            <w:tcW w:w="658"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vertAlign w:val="baseline"/>
                <w:lang w:val="en-US" w:eastAsia="zh-CN"/>
              </w:rPr>
            </w:pPr>
            <w:r>
              <w:rPr>
                <w:rFonts w:hint="eastAsia"/>
                <w:vertAlign w:val="baseline"/>
                <w:lang w:val="en-US" w:eastAsia="zh-CN"/>
              </w:rPr>
              <w:t>学科</w:t>
            </w:r>
          </w:p>
        </w:tc>
        <w:tc>
          <w:tcPr>
            <w:tcW w:w="110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vertAlign w:val="baseline"/>
                <w:lang w:val="en-US" w:eastAsia="zh-CN"/>
              </w:rPr>
            </w:pPr>
            <w:r>
              <w:rPr>
                <w:rFonts w:hint="eastAsia"/>
                <w:vertAlign w:val="baseline"/>
                <w:lang w:val="en-US" w:eastAsia="zh-CN"/>
              </w:rPr>
              <w:t>地点（拟）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 w:type="dxa"/>
            <w:vMerge w:val="continue"/>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p>
        </w:tc>
        <w:tc>
          <w:tcPr>
            <w:tcW w:w="877" w:type="dxa"/>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vertAlign w:val="baseline"/>
                <w:lang w:val="en-US" w:eastAsia="zh-CN"/>
              </w:rPr>
            </w:pPr>
            <w:r>
              <w:rPr>
                <w:rFonts w:hint="eastAsia"/>
                <w:lang w:val="en-US" w:eastAsia="zh-CN"/>
              </w:rPr>
              <w:t>《达·芬奇〈最后的晚餐〉》</w:t>
            </w:r>
          </w:p>
        </w:tc>
        <w:tc>
          <w:tcPr>
            <w:tcW w:w="2308"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 xml:space="preserve">   通过图文了解达•芬奇如何生动地描绘出人物心理冲突和故事的戏剧性。图文对照，赏析表现耶稣和犹大两人神态与心理的语句。体会文章说明与描写相结合的作用。</w:t>
            </w:r>
          </w:p>
        </w:tc>
        <w:tc>
          <w:tcPr>
            <w:tcW w:w="2481"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利用课余时间阅读《蒋勋破解 达•芬奇之美》、《我和达•芬奇一起思考》，进一步加深对达芬奇的了解和认识,完成九宫格《我和达芬奇》以及《我眼中的达芬奇》演讲稿。</w:t>
            </w:r>
          </w:p>
        </w:tc>
        <w:tc>
          <w:tcPr>
            <w:tcW w:w="72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vertAlign w:val="baseline"/>
                <w:lang w:val="en-US" w:eastAsia="zh-CN"/>
              </w:rPr>
            </w:pPr>
            <w:r>
              <w:rPr>
                <w:rFonts w:hint="eastAsia"/>
                <w:vertAlign w:val="baseline"/>
                <w:lang w:val="en-US" w:eastAsia="zh-CN"/>
              </w:rPr>
              <w:t>3</w:t>
            </w:r>
          </w:p>
        </w:tc>
        <w:tc>
          <w:tcPr>
            <w:tcW w:w="658"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语文</w:t>
            </w:r>
          </w:p>
        </w:tc>
        <w:tc>
          <w:tcPr>
            <w:tcW w:w="1106"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“大家”主题阅览室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 w:type="dxa"/>
            <w:vMerge w:val="continue"/>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p>
        </w:tc>
        <w:tc>
          <w:tcPr>
            <w:tcW w:w="877" w:type="dxa"/>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vertAlign w:val="baseline"/>
                <w:lang w:val="en-US" w:eastAsia="zh-CN"/>
              </w:rPr>
            </w:pPr>
            <w:r>
              <w:rPr>
                <w:rFonts w:hint="eastAsia"/>
                <w:lang w:val="en-US" w:eastAsia="zh-CN"/>
              </w:rPr>
              <w:t>《走近达·芬奇》</w:t>
            </w:r>
          </w:p>
        </w:tc>
        <w:tc>
          <w:tcPr>
            <w:tcW w:w="2308"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 xml:space="preserve">   在达•芬奇经典美术作品《最后的晚餐》赏析的过程中懂得欣赏名画的方法，并在作品实例分析的过程中知道绘画的基本构图方式，进一步体会达芬奇构图、用光、人物动态、表情等独具一格的设计。</w:t>
            </w:r>
          </w:p>
        </w:tc>
        <w:tc>
          <w:tcPr>
            <w:tcW w:w="2481"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 xml:space="preserve">   运用其中的一种构图方式，结合速写的手法来写生校园一景。</w:t>
            </w:r>
          </w:p>
        </w:tc>
        <w:tc>
          <w:tcPr>
            <w:tcW w:w="72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vertAlign w:val="baseline"/>
                <w:lang w:val="en-US" w:eastAsia="zh-CN"/>
              </w:rPr>
            </w:pPr>
            <w:r>
              <w:rPr>
                <w:rFonts w:hint="eastAsia"/>
                <w:vertAlign w:val="baseline"/>
                <w:lang w:val="en-US" w:eastAsia="zh-CN"/>
              </w:rPr>
              <w:t>3</w:t>
            </w:r>
          </w:p>
        </w:tc>
        <w:tc>
          <w:tcPr>
            <w:tcW w:w="658"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美术</w:t>
            </w:r>
          </w:p>
        </w:tc>
        <w:tc>
          <w:tcPr>
            <w:tcW w:w="1106"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多媒体采集编辑室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 w:type="dxa"/>
            <w:vMerge w:val="continue"/>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p>
        </w:tc>
        <w:tc>
          <w:tcPr>
            <w:tcW w:w="877" w:type="dxa"/>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vertAlign w:val="baseline"/>
                <w:lang w:val="en-US" w:eastAsia="zh-CN"/>
              </w:rPr>
            </w:pPr>
            <w:r>
              <w:rPr>
                <w:rFonts w:hint="eastAsia"/>
                <w:vertAlign w:val="baseline"/>
                <w:lang w:val="en-US" w:eastAsia="zh-CN"/>
              </w:rPr>
              <w:t>Look it up! --- Da Vinci</w:t>
            </w:r>
          </w:p>
        </w:tc>
        <w:tc>
          <w:tcPr>
            <w:tcW w:w="2308"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 xml:space="preserve">   通过牛津英语8A Unit5教授学生使用百科全书查找信息，拓展学习查找有关达芬奇的介绍内容。通过阅读相关资料了解达•芬奇的生平介绍，能够将达•芬奇的主要经典作品和莫奈及梵高的作品进行区分。学生在阅读过程中学会使用spider-gram，进行课后阅读并通过网络平台等手段收集莫奈和梵高的基本资料。</w:t>
            </w:r>
          </w:p>
        </w:tc>
        <w:tc>
          <w:tcPr>
            <w:tcW w:w="2481"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 xml:space="preserve">    通过阅读→概括→收集→整合→写作的流程，按照Year of birth,Year of death,Birthplace,Childhood,Achievements,Adulthood,Contributions等方面较全面和清楚地编辑达•芬奇任务小百科。并排演学生小话剧。</w:t>
            </w:r>
          </w:p>
        </w:tc>
        <w:tc>
          <w:tcPr>
            <w:tcW w:w="72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vertAlign w:val="baseline"/>
                <w:lang w:val="en-US" w:eastAsia="zh-CN"/>
              </w:rPr>
            </w:pPr>
            <w:r>
              <w:rPr>
                <w:rFonts w:hint="eastAsia"/>
                <w:vertAlign w:val="baseline"/>
                <w:lang w:val="en-US" w:eastAsia="zh-CN"/>
              </w:rPr>
              <w:t>3</w:t>
            </w:r>
          </w:p>
        </w:tc>
        <w:tc>
          <w:tcPr>
            <w:tcW w:w="658"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英语</w:t>
            </w:r>
          </w:p>
        </w:tc>
        <w:tc>
          <w:tcPr>
            <w:tcW w:w="1106"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“悦读”云图书馆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学生“梦帆”小剧场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 w:type="dxa"/>
            <w:vMerge w:val="continue"/>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p>
        </w:tc>
        <w:tc>
          <w:tcPr>
            <w:tcW w:w="877" w:type="dxa"/>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vertAlign w:val="baseline"/>
                <w:lang w:val="en-US" w:eastAsia="zh-CN"/>
              </w:rPr>
            </w:pPr>
            <w:r>
              <w:rPr>
                <w:rFonts w:hint="eastAsia"/>
                <w:vertAlign w:val="baseline"/>
                <w:lang w:val="en-US" w:eastAsia="zh-CN"/>
              </w:rPr>
              <w:t>《达芬奇 ——“人文主义”的巨匠》</w:t>
            </w:r>
          </w:p>
        </w:tc>
        <w:tc>
          <w:tcPr>
            <w:tcW w:w="2308"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 xml:space="preserve">    学生观察并小组讨论，比较达•芬奇《最后的晚餐》与中世纪同题材作品；关注达芬奇《最后的晚餐》在人物神态动作上的刻画，从而感受其作品中的“人”。</w:t>
            </w:r>
          </w:p>
        </w:tc>
        <w:tc>
          <w:tcPr>
            <w:tcW w:w="2481"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 xml:space="preserve">    学生修改完善有关达•芬奇的小论文：《我眼中的达•芬奇》《达•芬奇——“人文主义”的巨匠》《发现达•芬奇作品中的“人文主义” 》。</w:t>
            </w:r>
          </w:p>
        </w:tc>
        <w:tc>
          <w:tcPr>
            <w:tcW w:w="72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vertAlign w:val="baseline"/>
                <w:lang w:val="en-US" w:eastAsia="zh-CN"/>
              </w:rPr>
            </w:pPr>
            <w:r>
              <w:rPr>
                <w:rFonts w:hint="eastAsia"/>
                <w:vertAlign w:val="baseline"/>
                <w:lang w:val="en-US" w:eastAsia="zh-CN"/>
              </w:rPr>
              <w:t>2</w:t>
            </w:r>
          </w:p>
        </w:tc>
        <w:tc>
          <w:tcPr>
            <w:tcW w:w="658"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历史</w:t>
            </w:r>
          </w:p>
        </w:tc>
        <w:tc>
          <w:tcPr>
            <w:tcW w:w="1106"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“悦读”云图书馆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 w:type="dxa"/>
            <w:vMerge w:val="continue"/>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p>
        </w:tc>
        <w:tc>
          <w:tcPr>
            <w:tcW w:w="877" w:type="dxa"/>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vertAlign w:val="baseline"/>
                <w:lang w:val="en-US" w:eastAsia="zh-CN"/>
              </w:rPr>
            </w:pPr>
            <w:r>
              <w:rPr>
                <w:rFonts w:hint="eastAsia"/>
                <w:vertAlign w:val="baseline"/>
                <w:lang w:val="en-US" w:eastAsia="zh-CN"/>
              </w:rPr>
              <w:t>全面发展</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vertAlign w:val="baseline"/>
                <w:lang w:val="en-US" w:eastAsia="zh-CN"/>
              </w:rPr>
            </w:pPr>
            <w:r>
              <w:rPr>
                <w:rFonts w:hint="eastAsia"/>
                <w:vertAlign w:val="baseline"/>
                <w:lang w:val="en-US" w:eastAsia="zh-CN"/>
              </w:rPr>
              <w:t>立志成才</w:t>
            </w:r>
          </w:p>
        </w:tc>
        <w:tc>
          <w:tcPr>
            <w:tcW w:w="2308"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 xml:space="preserve">   在了解达•芬奇作品中的“人文主义”基础上，进一步了解达•芬奇身上具备的科学素养，明白人才的条件及基本素养。</w:t>
            </w:r>
          </w:p>
        </w:tc>
        <w:tc>
          <w:tcPr>
            <w:tcW w:w="2481"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 xml:space="preserve">    学生小辩论，辩题：青少年要成才，科学精神比人文精神更重要；</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青少年要成才，人文精神比科学精神更重要；</w:t>
            </w:r>
          </w:p>
        </w:tc>
        <w:tc>
          <w:tcPr>
            <w:tcW w:w="72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vertAlign w:val="baseline"/>
                <w:lang w:val="en-US" w:eastAsia="zh-CN"/>
              </w:rPr>
            </w:pPr>
            <w:r>
              <w:rPr>
                <w:rFonts w:hint="eastAsia"/>
                <w:vertAlign w:val="baseline"/>
                <w:lang w:val="en-US" w:eastAsia="zh-CN"/>
              </w:rPr>
              <w:t>1</w:t>
            </w:r>
          </w:p>
        </w:tc>
        <w:tc>
          <w:tcPr>
            <w:tcW w:w="658"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思品</w:t>
            </w:r>
          </w:p>
        </w:tc>
        <w:tc>
          <w:tcPr>
            <w:tcW w:w="1106"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vertAlign w:val="baseline"/>
                <w:lang w:val="en-US" w:eastAsia="zh-CN"/>
              </w:rPr>
            </w:pPr>
            <w:r>
              <w:rPr>
                <w:rFonts w:hint="eastAsia"/>
                <w:vertAlign w:val="baseline"/>
                <w:lang w:val="en-US" w:eastAsia="zh-CN"/>
              </w:rPr>
              <w:t>学生“梦帆”小剧场</w:t>
            </w:r>
          </w:p>
        </w:tc>
      </w:tr>
    </w:tbl>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三</w:t>
      </w:r>
      <w:r>
        <w:rPr>
          <w:rFonts w:hint="eastAsia" w:ascii="宋体" w:hAnsi="宋体" w:eastAsia="宋体" w:cs="宋体"/>
          <w:sz w:val="28"/>
          <w:szCs w:val="28"/>
          <w:lang w:eastAsia="zh-CN"/>
        </w:rPr>
        <w:t>、</w:t>
      </w:r>
      <w:r>
        <w:rPr>
          <w:rFonts w:hint="eastAsia" w:ascii="宋体" w:hAnsi="宋体" w:eastAsia="宋体" w:cs="宋体"/>
          <w:sz w:val="28"/>
          <w:szCs w:val="28"/>
        </w:rPr>
        <w:t>学科教学指南及课堂教学改革</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（一）学科单元教学指南</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4"/>
          <w:szCs w:val="24"/>
          <w:lang w:val="en-US" w:eastAsia="zh-CN"/>
        </w:rPr>
        <w:t xml:space="preserve"> 1、本学期我们通过一人一课、课例研讨等手段继续推动学科单元教学指南的编写工作，一共完成了58个学科单元教学指南。</w:t>
      </w:r>
    </w:p>
    <w:tbl>
      <w:tblPr>
        <w:tblStyle w:val="4"/>
        <w:tblW w:w="8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5509"/>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学科</w:t>
            </w:r>
          </w:p>
        </w:tc>
        <w:tc>
          <w:tcPr>
            <w:tcW w:w="5509"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单元名称</w:t>
            </w:r>
          </w:p>
        </w:tc>
        <w:tc>
          <w:tcPr>
            <w:tcW w:w="968"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语文</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8"/>
                <w:szCs w:val="28"/>
                <w:vertAlign w:val="baseline"/>
                <w:lang w:eastAsia="zh-CN"/>
              </w:rPr>
            </w:pPr>
            <w:r>
              <w:rPr>
                <w:rFonts w:hint="eastAsia" w:ascii="宋体" w:hAnsi="宋体" w:eastAsia="宋体" w:cs="宋体"/>
                <w:sz w:val="24"/>
                <w:szCs w:val="24"/>
                <w:lang w:val="en-US" w:eastAsia="zh-CN"/>
              </w:rPr>
              <w:t>《写几件事的记叙文》、《文言文》、《说明文》、《议论文》教学指南</w:t>
            </w:r>
            <w:r>
              <w:rPr>
                <w:rFonts w:hint="eastAsia" w:ascii="宋体" w:hAnsi="宋体" w:eastAsia="宋体" w:cs="宋体"/>
                <w:sz w:val="24"/>
                <w:szCs w:val="24"/>
                <w:lang w:val="en-US" w:eastAsia="zh-CN"/>
              </w:rPr>
              <w:t>等</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数学</w:t>
            </w:r>
          </w:p>
        </w:tc>
        <w:tc>
          <w:tcPr>
            <w:tcW w:w="5509" w:type="dxa"/>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8"/>
                <w:szCs w:val="28"/>
                <w:vertAlign w:val="baseline"/>
                <w:lang w:eastAsia="zh-CN"/>
              </w:rPr>
            </w:pPr>
            <w:r>
              <w:rPr>
                <w:rFonts w:hint="eastAsia" w:ascii="宋体" w:hAnsi="宋体" w:eastAsia="宋体" w:cs="宋体"/>
                <w:sz w:val="24"/>
                <w:szCs w:val="24"/>
                <w:lang w:val="en-US" w:eastAsia="zh-CN"/>
              </w:rPr>
              <w:t>《分式的基本性质》、《角的平分线》教学指南</w:t>
            </w:r>
            <w:r>
              <w:rPr>
                <w:rFonts w:hint="eastAsia" w:ascii="宋体" w:hAnsi="宋体" w:eastAsia="宋体" w:cs="宋体"/>
                <w:sz w:val="24"/>
                <w:szCs w:val="24"/>
                <w:lang w:val="en-US" w:eastAsia="zh-CN"/>
              </w:rPr>
              <w:t>等</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英语</w:t>
            </w:r>
          </w:p>
        </w:tc>
        <w:tc>
          <w:tcPr>
            <w:tcW w:w="5509" w:type="dxa"/>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8"/>
                <w:szCs w:val="28"/>
                <w:vertAlign w:val="baseline"/>
                <w:lang w:eastAsia="zh-CN"/>
              </w:rPr>
            </w:pPr>
            <w:r>
              <w:rPr>
                <w:rFonts w:hint="eastAsia" w:ascii="宋体" w:hAnsi="宋体" w:eastAsia="宋体" w:cs="宋体"/>
                <w:sz w:val="24"/>
                <w:szCs w:val="24"/>
                <w:lang w:val="en-US" w:eastAsia="zh-CN"/>
              </w:rPr>
              <w:t>《Family and relatives》、《Relatives in Beijing》、《Penfriend  Encyclopedias》、《Ancient Greece》等</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艺术</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《行进》、《漫画与生活》教学指南。</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社会</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《承担社会角色》教学指南</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科学</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《健康的身体》教学指南</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生命科学</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《植物》教学指南</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劳技</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《纸艺—装饰花》、《绳结工艺》、《食品雕刻—菜肴盆饰》、《盆花栽培—吊兰》、《扦插育苗—富贵竹》教学指南</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信息</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《二进制与编码》教学指南</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物理</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《光》教学指南</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化学</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《走进溶液世界》教学指南</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vertAlign w:val="baseline"/>
                <w:lang w:eastAsia="zh-CN"/>
              </w:rPr>
            </w:pPr>
            <w:r>
              <w:rPr>
                <w:rFonts w:hint="eastAsia" w:ascii="黑体" w:hAnsi="黑体" w:eastAsia="黑体" w:cs="黑体"/>
                <w:sz w:val="24"/>
                <w:szCs w:val="24"/>
                <w:vertAlign w:val="baseline"/>
                <w:lang w:val="en-US" w:eastAsia="zh-CN"/>
              </w:rPr>
              <w:t>思品</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《尊敬老师  友爱同学》教学指南</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vertAlign w:val="baseline"/>
                <w:lang w:eastAsia="zh-CN"/>
              </w:rPr>
            </w:pPr>
            <w:r>
              <w:rPr>
                <w:rFonts w:hint="eastAsia" w:ascii="黑体" w:hAnsi="黑体" w:eastAsia="黑体" w:cs="黑体"/>
                <w:sz w:val="24"/>
                <w:szCs w:val="24"/>
                <w:vertAlign w:val="baseline"/>
                <w:lang w:val="en-US" w:eastAsia="zh-CN"/>
              </w:rPr>
              <w:t>体育</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《横箱分腿腾越》、《蹲距式跳远》、《双杠》教学指南</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1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vertAlign w:val="baseline"/>
                <w:lang w:eastAsia="zh-CN"/>
              </w:rPr>
            </w:pPr>
            <w:r>
              <w:rPr>
                <w:rFonts w:hint="eastAsia" w:ascii="黑体" w:hAnsi="黑体" w:eastAsia="黑体" w:cs="黑体"/>
                <w:sz w:val="24"/>
                <w:szCs w:val="24"/>
                <w:vertAlign w:val="baseline"/>
                <w:lang w:val="en-US" w:eastAsia="zh-CN"/>
              </w:rPr>
              <w:t>历史</w:t>
            </w:r>
          </w:p>
        </w:tc>
        <w:tc>
          <w:tcPr>
            <w:tcW w:w="5509"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《资本主义制度在欧美的确立》教学指南</w:t>
            </w:r>
          </w:p>
        </w:tc>
        <w:tc>
          <w:tcPr>
            <w:tcW w:w="968" w:type="dxa"/>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bl>
    <w:p>
      <w:pPr>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2、案例（以语文组为例）：</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基于课程标准的单元教学指南编制路径：相对于其它课程而言，语文的学习是综合了多种知识和能力的，很难作出一个明晰的划分。所以，通过讨论，我们决定尝试以下路径：从文体入手分解课程标准给出的学段终极要求——确定不同年级的不同文本的学习内容与要求————重组教材单元——制定单元教学指南。</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（2）丰富学生经历的单元教学指南设计流程：我们将“学生活动设计”作为单元教学指南中丰富学生学习经历的重要环节，予以重点关注和突破（以《多个材料记叙文写作活动》为例）：</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1.活动目标：帮助学生完成一篇写几件事的记叙文，表现自己对亲情的认识过程。</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2.活动各环节流程的名称</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预写作——打草稿——修订——校订——上交。</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3．每个环节中的任务及指向</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（1）学生阅读范文。</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（2）学生在老师指导下学习范文。</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（3）老师布置作文题目并告知学生字数、主题等具体要求。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（4）调动学生生活积累。可回家与家长交流、可回忆生活中的相关事例。</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4．活动分工或角色安排</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四人为一组。选择一个材料，小组内分享并提出修改意见。</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5．评价工具；</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评价量表－－好作文的标准表。</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小组讨论的具体要求和方法量表。</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6．活动资源；范文。</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7．干预策略；</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教师借助投影仪展示一篇学生作文，并对此文加以评论，以此作为示范，在全班进行教学。</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 教师从文中找出自己欣赏的一两个地方。</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 就不明白的地方示范提问。</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（3） 呈现另一篇作文，邀请学生模仿前面的示范对这篇作文做出反应。</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（4） 教师扮演不同层次的同伴，对作文作出高效或无效的反应。</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8．成果要求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上交作文、校刊投稿。</w:t>
      </w:r>
    </w:p>
    <w:p>
      <w:pPr>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（二）</w:t>
      </w:r>
      <w:r>
        <w:rPr>
          <w:rFonts w:hint="eastAsia" w:ascii="宋体" w:hAnsi="宋体" w:eastAsia="宋体" w:cs="宋体"/>
          <w:sz w:val="28"/>
          <w:szCs w:val="28"/>
        </w:rPr>
        <w:t>课堂教学改革</w:t>
      </w:r>
      <w:r>
        <w:rPr>
          <w:rFonts w:hint="eastAsia" w:ascii="宋体" w:hAnsi="宋体" w:eastAsia="宋体" w:cs="宋体"/>
          <w:sz w:val="28"/>
          <w:szCs w:val="28"/>
          <w:lang w:eastAsia="zh-CN"/>
        </w:rPr>
        <w:t>（微视频导学）</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4"/>
          <w:szCs w:val="24"/>
          <w:lang w:val="en-US" w:eastAsia="zh-CN"/>
        </w:rPr>
        <w:t>我们在单元教学指南的指导下，探索课堂教学“导做议练悟”五要素中的微视频导学，关注不同起点学生学习行为导入、关注学生知识网络构建、关注学生课堂思维品质等方面的问题，改进教师的课程执行力。</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目前，我们在这一个学期共制作了31个微视频，学校明确了微视频导学的定位，开展了微视频导学的教学实践，形成了微视频导学的流程，</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（1）微视频导学的定位</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汗学院的微视频教学模式更有利于激发学生的学习兴趣，以主观能动性推动学习，但这个舶来品不可能完全适应我校学生的学情。通过研究分析，我教研组针对初中生尚处于感性认知向理性认知转化的阶段，自觉性较差、理解能力有欠缺等特点，于是开展在运用“微视频导学”的课堂教学研究。</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微视频导学”是指在课前给学生一个形象生动的预习媒介，激发学生主动钻研数学知识的兴趣。时长为3-8分钟的视频，有利于学生集中注意力，同时不增加课业负担；同时对于导学的知识点，教师讲解慢、细、透，尽可能地让不同学习能力的学生在课前通过观看视频，减少知识储备的差距。经过一年多的实践，目前我们教研组的导学微视频形成了时间短、讲解细、善启发的特点。</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（2）微视频导学的流程：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视频回顾：在课前，教师都组织学生开展微视频的预学习。学生们通过观看微视频，回顾本节课的预备知识，了解本节课要学习基本知识并完成教师布置的小问题。</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问题交流：在课堂教学中，学生能主动提出观看视频后的问题与他人进行交流和分享。接着教师就将学生的这些问题作为教学的起点和线索，不断推进后续教学。</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互助解惑：在课堂教学中教师组织学生对于同伴提出的问题进行讨论和互助学习，立足于学生的“学”，要求学生多动脑，多观察。采用合作学习，讨论交流，观察发现，注重师生互动和生生互动，关注课堂对话。通过学生的主动学习、主动参与，更多展示学生的思维痕迹，促进学生能力的提高。</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检测评价：对于知识点和易错点，在学生主动学习的基础上，教师再给出相应的练习题进行检测，巩固和提升学生对于新知的获得。</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小结反思：在课堂小结环节中，教师引导学生反思课前同伴提出的问题是否得到解决，回顾本节课获取的知识和体验，使学生获得知识和技能以及学习方法的提升。</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（3）微视频导学的作用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我们在《平方根与开平方根》 教学中进行了对照实验，教师按照以上步骤进行设计，在生生互动环节，抛出一组学生问题，我们发现学生的疑惑基本围绕本课教学目标，一类是对平方根的概念不理解，一类是混淆了平方根、正平方根和负平方根的概念。相对于以往教师利用习题，帮助学生加深印象，这个12分钟的互助解惑的环节，虽然耗时长，但是尊重知识形成的过程，让学生在互相补充，互动对话中得到最终结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70" w:firstLineChars="176"/>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4"/>
          <w:szCs w:val="24"/>
          <w:lang w:val="en-US" w:eastAsia="zh-CN"/>
        </w:rPr>
        <w:t>以下是自我检测环节。该班同学的正确率与学情相似的对照班级的正确率对比表格：</w:t>
      </w:r>
    </w:p>
    <w:tbl>
      <w:tblPr>
        <w:tblStyle w:val="3"/>
        <w:tblW w:w="7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2708"/>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b/>
                <w:szCs w:val="21"/>
                <w:lang w:bidi="th-TH"/>
              </w:rPr>
            </w:pPr>
            <w:r>
              <w:rPr>
                <w:rFonts w:hint="eastAsia" w:ascii="Times New Roman" w:hAnsi="Times New Roman"/>
                <w:b/>
                <w:szCs w:val="21"/>
                <w:lang w:eastAsia="zh-CN" w:bidi="th-TH"/>
              </w:rPr>
              <w:t>核心</w:t>
            </w:r>
            <w:r>
              <w:rPr>
                <w:rFonts w:hint="eastAsia" w:ascii="Times New Roman" w:hAnsi="Times New Roman"/>
                <w:b/>
                <w:szCs w:val="21"/>
                <w:lang w:bidi="th-TH"/>
              </w:rPr>
              <w:t>知识点</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b/>
                <w:szCs w:val="21"/>
                <w:lang w:bidi="th-TH"/>
              </w:rPr>
            </w:pPr>
            <w:r>
              <w:rPr>
                <w:rFonts w:hint="eastAsia" w:ascii="Times New Roman" w:hAnsi="Times New Roman"/>
                <w:b/>
                <w:szCs w:val="21"/>
                <w:lang w:bidi="th-TH"/>
              </w:rPr>
              <w:t>采用导学微视频的班级</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b/>
                <w:szCs w:val="21"/>
                <w:lang w:bidi="th-TH"/>
              </w:rPr>
            </w:pPr>
            <w:r>
              <w:rPr>
                <w:rFonts w:hint="eastAsia" w:ascii="Times New Roman" w:hAnsi="Times New Roman"/>
                <w:b/>
                <w:szCs w:val="21"/>
                <w:lang w:bidi="th-TH"/>
              </w:rPr>
              <w:t>正确率</w:t>
            </w:r>
          </w:p>
        </w:tc>
        <w:tc>
          <w:tcPr>
            <w:tcW w:w="214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b/>
                <w:szCs w:val="21"/>
                <w:lang w:bidi="th-TH"/>
              </w:rPr>
            </w:pPr>
            <w:r>
              <w:rPr>
                <w:rFonts w:hint="eastAsia" w:ascii="Times New Roman" w:hAnsi="Times New Roman"/>
                <w:b/>
                <w:szCs w:val="21"/>
                <w:lang w:bidi="th-TH"/>
              </w:rPr>
              <w:t>对比班级</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b/>
                <w:szCs w:val="21"/>
                <w:lang w:bidi="th-TH"/>
              </w:rPr>
            </w:pPr>
            <w:r>
              <w:rPr>
                <w:rFonts w:hint="eastAsia" w:ascii="Times New Roman" w:hAnsi="Times New Roman"/>
                <w:b/>
                <w:szCs w:val="21"/>
                <w:lang w:bidi="th-TH"/>
              </w:rPr>
              <w:t>正确率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2977"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szCs w:val="21"/>
                <w:lang w:bidi="th-TH"/>
              </w:rPr>
            </w:pPr>
            <w:r>
              <w:rPr>
                <w:rFonts w:hint="eastAsia" w:ascii="Times New Roman" w:hAnsi="Times New Roman"/>
                <w:szCs w:val="21"/>
                <w:lang w:bidi="th-TH"/>
              </w:rPr>
              <w:t>一个数的正平方根的符号表示</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szCs w:val="21"/>
                <w:lang w:bidi="th-TH"/>
              </w:rPr>
            </w:pPr>
            <w:r>
              <w:rPr>
                <w:rFonts w:ascii="Times New Roman" w:hAnsi="Times New Roman"/>
                <w:szCs w:val="21"/>
                <w:lang w:bidi="th-TH"/>
              </w:rPr>
              <w:t>93%</w:t>
            </w:r>
          </w:p>
        </w:tc>
        <w:tc>
          <w:tcPr>
            <w:tcW w:w="214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szCs w:val="21"/>
                <w:lang w:bidi="th-TH"/>
              </w:rPr>
            </w:pPr>
            <w:r>
              <w:rPr>
                <w:rFonts w:ascii="Times New Roman" w:hAnsi="Times New Roman"/>
                <w:szCs w:val="21"/>
                <w:lang w:bidi="th-TH"/>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szCs w:val="21"/>
                <w:lang w:bidi="th-TH"/>
              </w:rPr>
            </w:pPr>
            <w:r>
              <w:rPr>
                <w:rFonts w:hint="eastAsia" w:ascii="Times New Roman" w:hAnsi="Times New Roman"/>
                <w:szCs w:val="21"/>
                <w:lang w:bidi="th-TH"/>
              </w:rPr>
              <w:t>一个数的平方根与正平方根的符号表示的区别</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szCs w:val="21"/>
                <w:lang w:bidi="th-TH"/>
              </w:rPr>
            </w:pPr>
            <w:r>
              <w:rPr>
                <w:rFonts w:ascii="Times New Roman" w:hAnsi="Times New Roman"/>
                <w:szCs w:val="21"/>
                <w:lang w:bidi="th-TH"/>
              </w:rPr>
              <w:t>98%</w:t>
            </w:r>
          </w:p>
        </w:tc>
        <w:tc>
          <w:tcPr>
            <w:tcW w:w="214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szCs w:val="21"/>
                <w:lang w:bidi="th-TH"/>
              </w:rPr>
            </w:pPr>
            <w:r>
              <w:rPr>
                <w:rFonts w:ascii="Times New Roman" w:hAnsi="Times New Roman"/>
                <w:szCs w:val="21"/>
                <w:lang w:bidi="th-TH"/>
              </w:rPr>
              <w:t>80%</w:t>
            </w:r>
          </w:p>
        </w:tc>
      </w:tr>
    </w:tbl>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4"/>
          <w:szCs w:val="24"/>
          <w:lang w:val="en-US" w:eastAsia="zh-CN"/>
        </w:rPr>
        <w:t>导学微视频的运用实现让课堂少了被动的听讲，多了主动的探究和讨论，真正实现了以学生为中心的课堂。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（4）微视频导学的进一步研究方向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方向一：研发学科综合评价单，记录学生学习品质的形成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学校引导教研组设计开发了学科综合评价单，用过程性评价的方式，记录学生思维的成长、习惯的养成。评价单对课堂表现、刨根问底、钻研课外、作业情况、学习成绩进行评价。数学综合评价单还根据每个年级的学生特征设计动态比重，比如：六、七、八、九年级课堂表现部分所占总分的百分比成逐年下降趋势分别为25%。20%。15%。15%。</w:t>
      </w:r>
    </w:p>
    <w:tbl>
      <w:tblPr>
        <w:tblStyle w:val="3"/>
        <w:tblW w:w="805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391"/>
        <w:gridCol w:w="1392"/>
        <w:gridCol w:w="51"/>
        <w:gridCol w:w="1341"/>
        <w:gridCol w:w="73"/>
        <w:gridCol w:w="137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Times New Roman"/>
                <w:sz w:val="24"/>
              </w:rPr>
            </w:pPr>
          </w:p>
        </w:tc>
        <w:tc>
          <w:tcPr>
            <w:tcW w:w="1391"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hint="eastAsia" w:ascii="宋体" w:hAnsi="宋体"/>
                <w:sz w:val="24"/>
              </w:rPr>
              <w:t>课堂表现</w:t>
            </w:r>
          </w:p>
        </w:tc>
        <w:tc>
          <w:tcPr>
            <w:tcW w:w="1392"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hint="eastAsia" w:ascii="Times New Roman" w:hAnsi="Times New Roman"/>
                <w:szCs w:val="21"/>
              </w:rPr>
              <w:t>刨根问底</w:t>
            </w:r>
          </w:p>
        </w:tc>
        <w:tc>
          <w:tcPr>
            <w:tcW w:w="1392" w:type="dxa"/>
            <w:gridSpan w:val="2"/>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hint="eastAsia" w:ascii="Times New Roman" w:hAnsi="Times New Roman"/>
                <w:szCs w:val="21"/>
              </w:rPr>
              <w:t>钻研课外</w:t>
            </w:r>
          </w:p>
        </w:tc>
        <w:tc>
          <w:tcPr>
            <w:tcW w:w="1448" w:type="dxa"/>
            <w:gridSpan w:val="2"/>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hint="eastAsia" w:ascii="宋体" w:hAnsi="宋体"/>
                <w:sz w:val="24"/>
              </w:rPr>
              <w:t>作业情况</w:t>
            </w:r>
          </w:p>
        </w:tc>
        <w:tc>
          <w:tcPr>
            <w:tcW w:w="1488"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hint="eastAsia" w:ascii="宋体" w:hAnsi="宋体"/>
                <w:sz w:val="24"/>
              </w:rPr>
              <w:t>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Times New Roman"/>
                <w:sz w:val="24"/>
              </w:rPr>
            </w:pPr>
            <w:r>
              <w:rPr>
                <w:rFonts w:hint="eastAsia" w:ascii="宋体" w:hAnsi="宋体"/>
                <w:sz w:val="24"/>
              </w:rPr>
              <w:t>六年级</w:t>
            </w:r>
          </w:p>
        </w:tc>
        <w:tc>
          <w:tcPr>
            <w:tcW w:w="1391"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25%</w:t>
            </w: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10%</w:t>
            </w:r>
          </w:p>
        </w:tc>
        <w:tc>
          <w:tcPr>
            <w:tcW w:w="1392"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5%</w:t>
            </w:r>
          </w:p>
        </w:tc>
        <w:tc>
          <w:tcPr>
            <w:tcW w:w="1448" w:type="dxa"/>
            <w:gridSpan w:val="2"/>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ascii="宋体" w:hAnsi="宋体"/>
                <w:sz w:val="24"/>
              </w:rPr>
              <w:t>20%</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Times New Roman"/>
                <w:sz w:val="24"/>
              </w:rPr>
            </w:pPr>
            <w:r>
              <w:rPr>
                <w:rFonts w:hint="eastAsia" w:ascii="宋体" w:hAnsi="宋体"/>
                <w:sz w:val="24"/>
              </w:rPr>
              <w:t>七年级</w:t>
            </w:r>
          </w:p>
        </w:tc>
        <w:tc>
          <w:tcPr>
            <w:tcW w:w="1391"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20%</w:t>
            </w: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10%</w:t>
            </w:r>
          </w:p>
        </w:tc>
        <w:tc>
          <w:tcPr>
            <w:tcW w:w="1392"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10%</w:t>
            </w:r>
          </w:p>
        </w:tc>
        <w:tc>
          <w:tcPr>
            <w:tcW w:w="1448" w:type="dxa"/>
            <w:gridSpan w:val="2"/>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ascii="宋体" w:hAnsi="宋体"/>
                <w:sz w:val="24"/>
              </w:rPr>
              <w:t>20%</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Times New Roman"/>
                <w:sz w:val="24"/>
              </w:rPr>
            </w:pPr>
            <w:r>
              <w:rPr>
                <w:rFonts w:hint="eastAsia" w:ascii="宋体" w:hAnsi="宋体"/>
                <w:sz w:val="24"/>
              </w:rPr>
              <w:t>八年级</w:t>
            </w:r>
          </w:p>
        </w:tc>
        <w:tc>
          <w:tcPr>
            <w:tcW w:w="1391"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15%</w:t>
            </w: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15%</w:t>
            </w:r>
          </w:p>
        </w:tc>
        <w:tc>
          <w:tcPr>
            <w:tcW w:w="1392"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10%</w:t>
            </w:r>
          </w:p>
        </w:tc>
        <w:tc>
          <w:tcPr>
            <w:tcW w:w="1448" w:type="dxa"/>
            <w:gridSpan w:val="2"/>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ascii="宋体" w:hAnsi="宋体"/>
                <w:sz w:val="24"/>
              </w:rPr>
              <w:t>10%</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Times New Roman"/>
                <w:sz w:val="24"/>
              </w:rPr>
            </w:pPr>
            <w:r>
              <w:rPr>
                <w:rFonts w:hint="eastAsia" w:ascii="宋体" w:hAnsi="宋体"/>
                <w:sz w:val="24"/>
              </w:rPr>
              <w:t>九年级</w:t>
            </w:r>
          </w:p>
        </w:tc>
        <w:tc>
          <w:tcPr>
            <w:tcW w:w="1391"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24"/>
              </w:rPr>
            </w:pPr>
            <w:r>
              <w:rPr>
                <w:rFonts w:ascii="宋体" w:hAnsi="宋体"/>
                <w:sz w:val="24"/>
              </w:rPr>
              <w:t>15%</w:t>
            </w:r>
          </w:p>
        </w:tc>
        <w:tc>
          <w:tcPr>
            <w:tcW w:w="1443"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ascii="宋体" w:hAnsi="宋体"/>
                <w:sz w:val="24"/>
              </w:rPr>
              <w:t>15%</w:t>
            </w:r>
          </w:p>
        </w:tc>
        <w:tc>
          <w:tcPr>
            <w:tcW w:w="1414"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ascii="宋体" w:hAnsi="宋体"/>
                <w:sz w:val="24"/>
              </w:rPr>
              <w:t>10%</w:t>
            </w:r>
          </w:p>
        </w:tc>
        <w:tc>
          <w:tcPr>
            <w:tcW w:w="1375"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ascii="宋体" w:hAnsi="宋体"/>
                <w:sz w:val="24"/>
              </w:rPr>
              <w:t>10%</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Times New Roman"/>
                <w:sz w:val="24"/>
              </w:rPr>
            </w:pPr>
            <w:r>
              <w:rPr>
                <w:rFonts w:ascii="宋体" w:hAnsi="宋体"/>
                <w:sz w:val="24"/>
              </w:rPr>
              <w:t>50%</w:t>
            </w:r>
          </w:p>
        </w:tc>
      </w:tr>
    </w:tbl>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lang w:val="en-US" w:eastAsia="zh-CN"/>
        </w:rPr>
        <w:t xml:space="preserve">   </w:t>
      </w:r>
      <w:r>
        <w:rPr>
          <w:rFonts w:hint="eastAsia" w:ascii="宋体" w:hAnsi="宋体" w:eastAsia="宋体" w:cs="宋体"/>
          <w:sz w:val="24"/>
          <w:szCs w:val="24"/>
          <w:lang w:val="en-US" w:eastAsia="zh-CN"/>
        </w:rPr>
        <w:t xml:space="preserve"> 在综合评价单的辅助下，学生导学微视频的预习质量，就可以体现“作业情况”这一板块中；其中预习问题问得尤其精彩的，还可以在刨根问题的环节加分。这样的每日记录方式，促进学生自我鞭策，有目标、有干劲。</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评价单客观全面的评价维度呵护了不同学习能力的学生学习兴趣，尤其是一些学习基础薄弱，正在努力而学习成绩尚未提升的学生，如果用考试来评价他们的学习情况是不够全面的。而在综合评价单中，该生的课堂表现、刨根问底、钻研课外、作业情况的优秀记录，足以证明他是一个正在努力迎头赶上的潜能生。不同的尺子量出了学生的长处。像是一双善于发现美的眼睛，看到了这些学生身上努力的过程，将他们的闪光点跃然纸上。</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方向二：编纂个性化作业，打造分层反馈体系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校校本作业名为个性化作业。以日日练的形式，分为基础题、拓展题和探究题。学生可以根据自身掌握情况和学习能力自主选择需要完成的作业。让每位学生都找到自己的对应点。经过多次修订，目前已形成了题型新颖、知识点覆盖完整、难易结合的实用有效校本练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Arial Black">
    <w:panose1 w:val="020B0A04020102020204"/>
    <w:charset w:val="00"/>
    <w:family w:val="decorative"/>
    <w:pitch w:val="default"/>
    <w:sig w:usb0="00000287" w:usb1="00000000" w:usb2="00000000" w:usb3="00000000" w:csb0="2000009F" w:csb1="DFD70000"/>
  </w:font>
  <w:font w:name="??">
    <w:altName w:val="Times New Roman"/>
    <w:panose1 w:val="00000000000000000000"/>
    <w:charset w:val="00"/>
    <w:family w:val="modern"/>
    <w:pitch w:val="default"/>
    <w:sig w:usb0="00000000" w:usb1="00000000" w:usb2="00000000" w:usb3="00000000" w:csb0="0000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Arial Black">
    <w:panose1 w:val="020B0A04020102020204"/>
    <w:charset w:val="00"/>
    <w:family w:val="roman"/>
    <w:pitch w:val="default"/>
    <w:sig w:usb0="00000287" w:usb1="00000000" w:usb2="00000000" w:usb3="00000000" w:csb0="2000009F" w:csb1="DFD70000"/>
  </w:font>
  <w:font w:name="??">
    <w:altName w:val="Times New Roman"/>
    <w:panose1 w:val="00000000000000000000"/>
    <w:charset w:val="00"/>
    <w:family w:val="swiss"/>
    <w:pitch w:val="default"/>
    <w:sig w:usb0="00000000" w:usb1="00000000" w:usb2="00000000" w:usb3="00000000" w:csb0="0000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Arial Black">
    <w:panose1 w:val="020B0A04020102020204"/>
    <w:charset w:val="00"/>
    <w:family w:val="modern"/>
    <w:pitch w:val="default"/>
    <w:sig w:usb0="00000287" w:usb1="00000000" w:usb2="00000000" w:usb3="00000000" w:csb0="2000009F" w:csb1="DFD70000"/>
  </w:font>
  <w:font w:name="??">
    <w:altName w:val="Times New Roman"/>
    <w:panose1 w:val="00000000000000000000"/>
    <w:charset w:val="00"/>
    <w:family w:val="decorative"/>
    <w:pitch w:val="default"/>
    <w:sig w:usb0="00000000" w:usb1="00000000" w:usb2="00000000" w:usb3="00000000" w:csb0="0000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230946">
    <w:nsid w:val="5670C4A2"/>
    <w:multiLevelType w:val="singleLevel"/>
    <w:tmpl w:val="5670C4A2"/>
    <w:lvl w:ilvl="0" w:tentative="1">
      <w:start w:val="1"/>
      <w:numFmt w:val="decimal"/>
      <w:suff w:val="nothing"/>
      <w:lvlText w:val="%1、"/>
      <w:lvlJc w:val="left"/>
    </w:lvl>
  </w:abstractNum>
  <w:abstractNum w:abstractNumId="1450229977">
    <w:nsid w:val="5670C0D9"/>
    <w:multiLevelType w:val="singleLevel"/>
    <w:tmpl w:val="5670C0D9"/>
    <w:lvl w:ilvl="0" w:tentative="1">
      <w:start w:val="1"/>
      <w:numFmt w:val="decimal"/>
      <w:suff w:val="nothing"/>
      <w:lvlText w:val="（%1）"/>
      <w:lvlJc w:val="left"/>
    </w:lvl>
  </w:abstractNum>
  <w:num w:numId="1">
    <w:abstractNumId w:val="1450229977"/>
  </w:num>
  <w:num w:numId="2">
    <w:abstractNumId w:val="14502309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E58F6"/>
    <w:rsid w:val="00E62608"/>
    <w:rsid w:val="02CE58F6"/>
    <w:rsid w:val="0CB5783B"/>
    <w:rsid w:val="10E9049B"/>
    <w:rsid w:val="18861E52"/>
    <w:rsid w:val="19F61133"/>
    <w:rsid w:val="223B03FF"/>
    <w:rsid w:val="236C444B"/>
    <w:rsid w:val="2AA455A6"/>
    <w:rsid w:val="2E1363D9"/>
    <w:rsid w:val="364D06F2"/>
    <w:rsid w:val="39122E70"/>
    <w:rsid w:val="3FFE1DCC"/>
    <w:rsid w:val="40E72E4C"/>
    <w:rsid w:val="427248C7"/>
    <w:rsid w:val="451405A6"/>
    <w:rsid w:val="459A1C0E"/>
    <w:rsid w:val="46A47C5B"/>
    <w:rsid w:val="4B5F1E0A"/>
    <w:rsid w:val="510F2428"/>
    <w:rsid w:val="5C402546"/>
    <w:rsid w:val="5F30264E"/>
    <w:rsid w:val="6363689A"/>
    <w:rsid w:val="6B7D3900"/>
    <w:rsid w:val="6D715C9A"/>
    <w:rsid w:val="76AB74A2"/>
    <w:rsid w:val="76EC0635"/>
    <w:rsid w:val="76F06E2A"/>
    <w:rsid w:val="7AA66F96"/>
    <w:rsid w:val="7CE73382"/>
    <w:rsid w:val="7D705548"/>
    <w:rsid w:val="7FEF24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2015-12-14T05:10:00Z</dcterms:created>
  <dc:creator>Administrator</dc:creator>
  <cp:lastModifiedBy>Administrator</cp:lastModifiedBy>
  <cp:lastPrinted>2015-12-16T01:49:00Z</cp:lastPrinted>
  <dcterms:modified xsi:type="dcterms:W3CDTF">2015-12-16T08:11:06Z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